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Times New Roman" w:hAnsi="Times New Roman" w:eastAsia="宋体" w:cs="Times New Roman"/>
          <w:b w:val="0"/>
          <w:bCs w:val="0"/>
          <w:sz w:val="18"/>
          <w:szCs w:val="18"/>
        </w:rPr>
      </w:pPr>
      <w:r>
        <w:rPr>
          <w:rFonts w:ascii="Times New Roman" w:hAnsi="Times New Roman" w:eastAsia="宋体" w:cs="Times New Roman"/>
          <w:b w:val="0"/>
          <w:bCs w:val="0"/>
          <w:sz w:val="18"/>
          <w:szCs w:val="18"/>
        </w:rPr>
        <w:t>表 2-3</w:t>
      </w:r>
      <w:r>
        <w:rPr>
          <w:rFonts w:hint="eastAsia" w:ascii="Times New Roman" w:hAnsi="Times New Roman" w:eastAsia="宋体" w:cs="Times New Roman"/>
          <w:b w:val="0"/>
          <w:bCs w:val="0"/>
          <w:sz w:val="18"/>
          <w:szCs w:val="18"/>
          <w:lang w:val="en-US" w:eastAsia="zh-CN"/>
        </w:rPr>
        <w:t xml:space="preserve">4 </w:t>
      </w:r>
      <w:r>
        <w:rPr>
          <w:rFonts w:ascii="Times New Roman" w:hAnsi="Times New Roman" w:eastAsia="宋体" w:cs="Times New Roman"/>
          <w:b w:val="0"/>
          <w:bCs w:val="0"/>
          <w:sz w:val="18"/>
          <w:szCs w:val="18"/>
        </w:rPr>
        <w:t>巴西科学数据中心数据管理政策</w:t>
      </w:r>
    </w:p>
    <w:tbl>
      <w:tblPr>
        <w:tblStyle w:val="3"/>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73"/>
        <w:gridCol w:w="905"/>
        <w:gridCol w:w="516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b w:val="0"/>
                <w:bCs w:val="0"/>
                <w:kern w:val="0"/>
                <w:sz w:val="18"/>
                <w:szCs w:val="18"/>
                <w:lang w:val="en-US" w:eastAsia="zh-CN" w:bidi="ar-SA"/>
                <w14:ligatures w14:val="none"/>
              </w:rPr>
            </w:pPr>
            <w:r>
              <w:rPr>
                <w:rFonts w:ascii="Times New Roman" w:hAnsi="Times New Roman" w:eastAsia="宋体" w:cs="Times New Roman"/>
                <w:b w:val="0"/>
                <w:bCs w:val="0"/>
                <w:sz w:val="18"/>
                <w:szCs w:val="18"/>
              </w:rPr>
              <w:t>政策名称（体系）</w:t>
            </w:r>
          </w:p>
        </w:tc>
        <w:tc>
          <w:tcPr>
            <w:tcW w:w="905" w:type="dxa"/>
            <w:vAlign w:val="center"/>
          </w:tcPr>
          <w:p>
            <w:pPr>
              <w:spacing w:line="276" w:lineRule="auto"/>
              <w:jc w:val="center"/>
              <w:rPr>
                <w:rFonts w:ascii="Times New Roman" w:hAnsi="Times New Roman" w:eastAsia="宋体" w:cs="Times New Roman"/>
                <w:b w:val="0"/>
                <w:bCs w:val="0"/>
                <w:kern w:val="0"/>
                <w:sz w:val="18"/>
                <w:szCs w:val="18"/>
                <w:lang w:val="en-US" w:eastAsia="zh-CN" w:bidi="ar-SA"/>
                <w14:ligatures w14:val="none"/>
              </w:rPr>
            </w:pPr>
            <w:r>
              <w:rPr>
                <w:rFonts w:ascii="Times New Roman" w:hAnsi="Times New Roman" w:eastAsia="宋体" w:cs="Times New Roman"/>
                <w:b w:val="0"/>
                <w:bCs w:val="0"/>
                <w:sz w:val="18"/>
                <w:szCs w:val="18"/>
              </w:rPr>
              <w:t>时间</w:t>
            </w:r>
          </w:p>
        </w:tc>
        <w:tc>
          <w:tcPr>
            <w:tcW w:w="5165" w:type="dxa"/>
            <w:vAlign w:val="center"/>
          </w:tcPr>
          <w:p>
            <w:pPr>
              <w:spacing w:line="276" w:lineRule="auto"/>
              <w:jc w:val="center"/>
              <w:rPr>
                <w:rFonts w:ascii="Times New Roman" w:hAnsi="Times New Roman" w:eastAsia="宋体" w:cs="Times New Roman"/>
                <w:b w:val="0"/>
                <w:bCs w:val="0"/>
                <w:kern w:val="0"/>
                <w:sz w:val="18"/>
                <w:szCs w:val="18"/>
                <w:lang w:val="en-US" w:eastAsia="zh-CN" w:bidi="ar-SA"/>
                <w14:ligatures w14:val="none"/>
              </w:rPr>
            </w:pPr>
            <w:r>
              <w:rPr>
                <w:rFonts w:ascii="Times New Roman" w:hAnsi="Times New Roman" w:eastAsia="宋体" w:cs="Times New Roman"/>
                <w:b w:val="0"/>
                <w:bCs w:val="0"/>
                <w:sz w:val="18"/>
                <w:szCs w:val="18"/>
              </w:rPr>
              <w:t>针对主题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《巴西良好数据法》</w:t>
            </w:r>
          </w:p>
        </w:tc>
        <w:tc>
          <w:tcPr>
            <w:tcW w:w="905" w:type="dxa"/>
            <w:vAlign w:val="center"/>
          </w:tcPr>
          <w:p>
            <w:pPr>
              <w:spacing w:line="276" w:lineRule="auto"/>
              <w:jc w:val="center"/>
              <w:rPr>
                <w:rFonts w:hint="eastAsia" w:ascii="Times New Roman" w:hAnsi="Times New Roman" w:eastAsia="宋体" w:cs="Times New Roman"/>
                <w:kern w:val="0"/>
                <w:sz w:val="18"/>
                <w:szCs w:val="18"/>
                <w:lang w:val="en-US" w:eastAsia="zh-CN"/>
              </w:rPr>
            </w:pPr>
            <w:r>
              <w:rPr>
                <w:rFonts w:ascii="Times New Roman" w:hAnsi="Times New Roman" w:eastAsia="宋体" w:cs="Times New Roman"/>
                <w:kern w:val="0"/>
                <w:sz w:val="18"/>
                <w:szCs w:val="18"/>
              </w:rPr>
              <w:t>2011</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规范了包含个人或法人实体支付记录信息数据库的创建和管理，旨在建立信用记录。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《信息获取法》</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2012</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对政府部门和机构提出要求，要对信息进行管理、保护和开放，尤其是机密信息和个人信息的保护。对联邦宪法规定的公民享有的“对信息获取的权利”做出了具体的阐释，是保障公民获取政府信息权利的最直接和最具有实践操作性的法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《巴西开放数据政策》</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2016</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要求公共机构将其数据开放共享，包括科学研究数据，以促进科学研究和创新。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《巴西战略规划2018–2022》</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2017</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建立组织战略、确定优先事项和要实现的目标的努力，以履行其机构使命，即“确保和促进科学、技术、创新和通信的进步，以期可持续发展和提高巴西社会的生活质量”。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《巴西数据保护法》</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2018</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尽管巴西多年来一直有一些稀疏的、由部门驱动的数据隐私标准（主要针对银行、健康和消费者为基础的企业），但它仍然缺乏一个全面的、普遍适用的个人数据处理框架。然而，2018年8月14日，颁布了第13.709/18号法律（巴西数据保护法，简称“LGPD”），以规范“个人或法律实体（无论是公共还是私人）处理个人数据，包括通过数字方式处理个人数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《巴西数字化转型战（E-Digital）》</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2018</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协调政府在数字问题上的不同举措，以推进巴西的可持续发展目标。E-Digital 还优先将资源分配给人工智能研究、开发和创新 (RD&amp;I) 以及能力建设。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《国家创新政策》</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2020</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指导政府在促进经济和社会创新活动、加强机构间协同作用以及提高创新相关的，公共政策有效性方面的行动，为在巴西进行创新的公司和其他机构带来更高的生产力。</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《科学、技术和创新战略规划（2020–2030 年）》</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2020</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根据巴西现实提出的挑战，提高国家的科学能力。促进创业、创新和应用研究，促进可持续发展。（取代《战略规划2018-2022》）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《数字政府战略》</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2020</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将指导所有联邦机构的行动，目标是通过数字化转变政府，为公民提供更优质、更简单、更易于访问且成本更低的服务。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《国家创新战略》</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2021</w:t>
            </w:r>
            <w:r>
              <w:rPr>
                <w:rFonts w:hint="eastAsia" w:ascii="Times New Roman" w:hAnsi="Times New Roman" w:eastAsia="宋体" w:cs="Times New Roman"/>
                <w:kern w:val="0"/>
                <w:sz w:val="18"/>
                <w:szCs w:val="18"/>
                <w:lang w:val="en-US" w:eastAsia="zh-CN"/>
              </w:rPr>
              <w:t>年</w:t>
            </w:r>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将国家创新政策制定的指令与相关职能部委实际执行的行动联系起来；它还根据与创新相关的主要指标制定了四年目标；还包括行动计划，其中包含参与实施创新政策的不同部委和机构制定的实际措施。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《巴西数据监管战略》</w:t>
            </w:r>
          </w:p>
        </w:tc>
        <w:tc>
          <w:tcPr>
            <w:tcW w:w="905"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2021</w:t>
            </w:r>
            <w:r>
              <w:rPr>
                <w:rFonts w:hint="eastAsia" w:ascii="Times New Roman" w:hAnsi="Times New Roman" w:eastAsia="宋体" w:cs="Times New Roman"/>
                <w:kern w:val="0"/>
                <w:sz w:val="18"/>
                <w:szCs w:val="18"/>
                <w:lang w:val="en-US" w:eastAsia="zh-CN"/>
              </w:rPr>
              <w:t>年</w:t>
            </w:r>
            <w:bookmarkStart w:id="0" w:name="_GoBack"/>
            <w:bookmarkEnd w:id="0"/>
          </w:p>
        </w:tc>
        <w:tc>
          <w:tcPr>
            <w:tcW w:w="5165"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巴西数据保护局ANPD确立了作为数据保护监管机构的三个主要目标，分别是促进加强数据保护文化，这将通过活动和讲习班、起草指南和建议、与公共和私营实体合作制定最佳做法和调查违规行为来实现。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yZDc0ZmQwZjk4YzBlYjZkZjFjMDcwOWUzYjE5YmEifQ=="/>
  </w:docVars>
  <w:rsids>
    <w:rsidRoot w:val="004345EC"/>
    <w:rsid w:val="004345EC"/>
    <w:rsid w:val="2B671112"/>
    <w:rsid w:val="30E82E84"/>
    <w:rsid w:val="58E25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rPr>
      <w:rFonts w:ascii="Calibri" w:hAnsi="Calibri" w:eastAsia="宋体" w:cs="Calibri"/>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1109</Words>
  <Characters>1244</Characters>
  <Lines>9</Lines>
  <Paragraphs>2</Paragraphs>
  <TotalTime>0</TotalTime>
  <ScaleCrop>false</ScaleCrop>
  <LinksUpToDate>false</LinksUpToDate>
  <CharactersWithSpaces>1251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2023-09-07T14:18:00Z</dcterms:created>
  <dc:creator>NTKO</dc:creator>
  <cp:lastModifiedBy>ZJ</cp:lastModifiedBy>
  <dcterms:modified xsi:type="dcterms:W3CDTF">2023-09-08T07:32:15Z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C3EB0AD7C1B042219B1927DBE47DF6DF_12</vt:lpwstr>
  </property>
</Properties>
</file>