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1"/>
          <w:szCs w:val="22"/>
          <w:lang w:val="en-US" w:eastAsia="zh-CN"/>
        </w:rPr>
      </w:pPr>
    </w:p>
    <w:p>
      <w:pPr>
        <w:numPr>
          <w:numId w:val="0"/>
        </w:numPr>
        <w:ind w:firstLine="2521" w:firstLineChars="900"/>
        <w:rPr>
          <w:rFonts w:hint="default"/>
          <w:b/>
          <w:bCs/>
          <w:sz w:val="28"/>
          <w:szCs w:val="32"/>
          <w:lang w:val="en-US" w:eastAsia="zh-CN"/>
        </w:rPr>
      </w:pPr>
      <w:r>
        <w:rPr>
          <w:rFonts w:hint="eastAsia"/>
          <w:b/>
          <w:bCs/>
          <w:sz w:val="28"/>
          <w:szCs w:val="32"/>
          <w:lang w:val="en-US" w:eastAsia="zh-CN"/>
        </w:rPr>
        <w:t>俄罗斯数据中心及其相关信息</w:t>
      </w:r>
    </w:p>
    <w:tbl>
      <w:tblPr>
        <w:tblStyle w:val="4"/>
        <w:tblpPr w:leftFromText="180" w:rightFromText="180" w:vertAnchor="text" w:horzAnchor="page" w:tblpX="764" w:tblpY="213"/>
        <w:tblOverlap w:val="never"/>
        <w:tblW w:w="10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1205"/>
        <w:gridCol w:w="1170"/>
        <w:gridCol w:w="1170"/>
        <w:gridCol w:w="2821"/>
        <w:gridCol w:w="1555"/>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序号</w:t>
            </w:r>
          </w:p>
        </w:tc>
        <w:tc>
          <w:tcPr>
            <w:tcW w:w="1205"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数据中心名称</w:t>
            </w:r>
          </w:p>
        </w:tc>
        <w:tc>
          <w:tcPr>
            <w:tcW w:w="1170"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创建年份</w:t>
            </w:r>
          </w:p>
        </w:tc>
        <w:tc>
          <w:tcPr>
            <w:tcW w:w="1170"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网址</w:t>
            </w:r>
          </w:p>
        </w:tc>
        <w:tc>
          <w:tcPr>
            <w:tcW w:w="2821"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主要作用</w:t>
            </w:r>
          </w:p>
        </w:tc>
        <w:tc>
          <w:tcPr>
            <w:tcW w:w="3997" w:type="dxa"/>
            <w:gridSpan w:val="2"/>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2" w:hRule="atLeast"/>
        </w:trPr>
        <w:tc>
          <w:tcPr>
            <w:tcW w:w="497"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1</w:t>
            </w:r>
          </w:p>
        </w:tc>
        <w:tc>
          <w:tcPr>
            <w:tcW w:w="1205"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lang w:val="en-US" w:eastAsia="zh-CN" w:bidi="ar"/>
              </w:rPr>
              <w:t>世界固体地球物理学数据中心（俄罗斯科学院地球物理中心）</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1971</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http://www.wdcb.ru/sep/</w:t>
            </w:r>
          </w:p>
        </w:tc>
        <w:tc>
          <w:tcPr>
            <w:tcW w:w="6818" w:type="dxa"/>
            <w:gridSpan w:val="3"/>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固体地球物理世界数据中心收集、存储和传播固体地球物理学科的大量数据：地震学、重力测量、热流、磁测量（主磁场）、考古和古磁学等，这些数据被用作基础和应用科学研究和教育的基础。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2</w:t>
            </w:r>
          </w:p>
        </w:tc>
        <w:tc>
          <w:tcPr>
            <w:tcW w:w="1205"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lang w:val="en-US" w:eastAsia="zh-CN" w:bidi="ar"/>
              </w:rPr>
              <w:t>世界日地物理数据 中心（俄罗斯科学院地球物理中心）</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1956</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http://www.wdcb.ru/stp/index.ru.html</w:t>
            </w:r>
          </w:p>
        </w:tc>
        <w:tc>
          <w:tcPr>
            <w:tcW w:w="2821"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世界日地物理数据中心成立于1956年，正在创建一个系统 根据国际科学联合会理事会（ICSU）的决定，世界数据中心（WDC）用于保存所获得的数据 在国际地球物理年（1957-1958）期间，并确保其可及性。</w:t>
            </w:r>
          </w:p>
        </w:tc>
        <w:tc>
          <w:tcPr>
            <w:tcW w:w="3997" w:type="dxa"/>
            <w:gridSpan w:val="2"/>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该中心为研究所、组织和</w:t>
            </w:r>
            <w:bookmarkStart w:id="0" w:name="_GoBack"/>
            <w:bookmarkEnd w:id="0"/>
            <w:r>
              <w:rPr>
                <w:rFonts w:hint="eastAsia" w:ascii="黑体" w:hAnsi="黑体" w:eastAsia="黑体" w:cs="黑体"/>
                <w:kern w:val="2"/>
                <w:sz w:val="21"/>
                <w:szCs w:val="21"/>
                <w:vertAlign w:val="baseline"/>
                <w:lang w:val="en-US" w:eastAsia="zh-CN" w:bidi="ar-SA"/>
              </w:rPr>
              <w:t xml:space="preserve">专家提供基础和应用数据 用于教育目的的科学研究和教育机构，没有任何限制，免费。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3</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世界数据中心</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WDC-用于火箭、卫星和地球自转（全俄研究所）</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2000</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http://meteo.ru/mcd/ewdcroc</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4</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世界数据中心-气象（全俄研究所）</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http://meteo.ru/mcd/ewdcmet.html</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世界气象数据中心位于奥布宁斯克的“全俄水文气象信息研究所 - 世界数据中心”。该中心的任务是收集和传播全世界，特别是俄罗斯的气象数据和产品。该中心的信息基础定期从各种来源更新，包括与美国北卡罗来纳州阿什维尔世界气象数据中心的双边数据交换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5</w:t>
            </w:r>
          </w:p>
        </w:tc>
        <w:tc>
          <w:tcPr>
            <w:tcW w:w="1205"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世界数据中心-B-海洋学（全俄研究所）</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http://meteo.ru/mcd/en_Cruises_Data.html</w:t>
            </w:r>
          </w:p>
        </w:tc>
        <w:tc>
          <w:tcPr>
            <w:tcW w:w="2821"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世界数据中心 - B“海洋学”在联邦国家预算机构“VNIIGMI-MCD”的国家海洋学数据中心的基础上运作，为用户提供有关世界海洋物理，化学和动态参数的数据的存储和服务，以及有关海洋学主题的出版物和出版物，这些出版物和出版物是其他国家进行国际交流，参与国际项目（全球大气过程研究计划，热带）的结果 海洋 - 全球大气“等），或由俄罗斯联邦组织提交国际交流。</w:t>
            </w:r>
          </w:p>
        </w:tc>
        <w:tc>
          <w:tcPr>
            <w:tcW w:w="3997" w:type="dxa"/>
            <w:gridSpan w:val="2"/>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 xml:space="preserve">MCD-B海洋学基金在很长一段时间内（1900-2015年）积累了有关海洋环境状况的国际数据，涉及约5，20次俄罗斯探险和&lt;&gt;，&lt;&gt;次外国探险。此外，MCD-B“海洋学”通过WMO全球电信系统接收来自BATI，CLAVER，SHIP，BUI等的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6</w:t>
            </w:r>
          </w:p>
        </w:tc>
        <w:tc>
          <w:tcPr>
            <w:tcW w:w="1205"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kern w:val="2"/>
                <w:sz w:val="21"/>
                <w:szCs w:val="21"/>
                <w:lang w:val="en-US" w:eastAsia="zh-CN" w:bidi="ar"/>
              </w:rPr>
              <w:t>维也纳原子线数据库-VALD</w:t>
            </w:r>
          </w:p>
        </w:tc>
        <w:tc>
          <w:tcPr>
            <w:tcW w:w="1170" w:type="dxa"/>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170" w:type="dxa"/>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http://vald.astro.uu.se/</w:t>
            </w:r>
          </w:p>
        </w:tc>
        <w:tc>
          <w:tcPr>
            <w:tcW w:w="6818" w:type="dxa"/>
            <w:gridSpan w:val="3"/>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用于选择典型天体物理应用的线路子集的工具：线路识别，准备光谱观测，化学成分和径向速度测量，模型大气计算等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7</w:t>
            </w:r>
          </w:p>
        </w:tc>
        <w:tc>
          <w:tcPr>
            <w:tcW w:w="1205"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lang w:val="en-US" w:eastAsia="zh-CN" w:bidi="ar"/>
              </w:rPr>
              <w:t>世界辐射数据中心-WRDC</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1964</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default" w:ascii="黑体" w:hAnsi="黑体" w:eastAsia="黑体" w:cs="黑体"/>
                <w:szCs w:val="21"/>
                <w:vertAlign w:val="baseline"/>
                <w:lang w:val="en-US" w:eastAsia="zh-CN"/>
              </w:rPr>
              <w:t>http://wrdc.mgo.rssi.ru/</w:t>
            </w:r>
          </w:p>
        </w:tc>
        <w:tc>
          <w:tcPr>
            <w:tcW w:w="2821" w:type="dxa"/>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世界辐射数据中心（WRDC）是世界气象组织（WMO）根据欧共体第12 XIV号决议和欧共体第三十六届会议第6号决议赞助的公认的世界数据中心之一。</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是俄罗斯沃伊科夫主要地球物理天文台的实验室 联邦水文气象和环境监测局前身为苏联国家水文气象委员会，位于圣彼得堡。</w:t>
            </w:r>
          </w:p>
        </w:tc>
        <w:tc>
          <w:tcPr>
            <w:tcW w:w="3997"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WRDC于1964年开始作为世界辐射数据中心，并产生了 1965年首次出版太阳辐射和辐射平衡数据（世界网络）。从1964年起，辐射数据每月公布一次。自1993年以来，该出版物每年发行四次。</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WRDC主要处理了目前从56个国家500多个站点提交的太阳辐射数据，并在其目录中列出了超过1200个站点的档案。 WRDC是测量部件的中心，例如：全球的漫射和直接太阳辐射、向下的大气辐射、净总辐射、地面辐射（向上），光谱辐射分量（瞬时通量）和日照持续时间，包括每小时、 每天或每月的数据。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8</w:t>
            </w:r>
          </w:p>
        </w:tc>
        <w:tc>
          <w:tcPr>
            <w:tcW w:w="1205"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lang w:val="en-US" w:eastAsia="zh-CN" w:bidi="ar"/>
              </w:rPr>
              <w:t>国际伽马射线天体物理实验室数据档案（只是管理基地，实验室属于意大利）</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https://www.cosmos.esa.int/web/integral/home</w:t>
            </w:r>
          </w:p>
        </w:tc>
        <w:tc>
          <w:tcPr>
            <w:tcW w:w="2821"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是欧洲宇航局研制的伽玛射线天文卫星，于2002年10月17日在俄罗斯位于哈萨克斯坦境内的拜科努尔航天中心用质子号火箭发射升空。该卫星是美国宇航局康普顿伽玛射线天文台的继任者，主要工作是在软X射线波段进行巡天，并获取伽玛射线源的高分辨率图像。卫星上同时安装了X射线望远镜和光学望远镜，以便对目标进行多波段联合观测。</w:t>
            </w:r>
          </w:p>
        </w:tc>
        <w:tc>
          <w:tcPr>
            <w:tcW w:w="3997" w:type="dxa"/>
            <w:gridSpan w:val="2"/>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INTEGRAL卫星取得了多项科研成果，这其中就包括在低能量的伽马射线辐射范围内完成了完整的全天巡天图；是第一个展示了银河系中心大约100个独立光源产生的大部分散射光的天文台。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9</w:t>
            </w:r>
          </w:p>
        </w:tc>
        <w:tc>
          <w:tcPr>
            <w:tcW w:w="1205" w:type="dxa"/>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kern w:val="2"/>
                <w:sz w:val="21"/>
                <w:szCs w:val="21"/>
                <w:lang w:val="en-US" w:eastAsia="zh-CN" w:bidi="ar"/>
              </w:rPr>
              <w:t>世界地理数据系统</w:t>
            </w:r>
          </w:p>
        </w:tc>
        <w:tc>
          <w:tcPr>
            <w:tcW w:w="1170" w:type="dxa"/>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170" w:type="dxa"/>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http://www.icsu-wds.ru/index.php/ru/</w:t>
            </w:r>
          </w:p>
        </w:tc>
        <w:tc>
          <w:tcPr>
            <w:tcW w:w="6818" w:type="dxa"/>
            <w:gridSpan w:val="3"/>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俄罗斯中心的主要能力：</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地理；</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环境系统的结构和演变；</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可持续资源管理；</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俄罗斯和其他国家的“人文地理”；</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大气、水圈和岩石圈之间的相互作用；</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制图、地理信息学和遥感；</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地理和地质生态教育；</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10</w:t>
            </w:r>
          </w:p>
        </w:tc>
        <w:tc>
          <w:tcPr>
            <w:tcW w:w="1205"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俄罗斯联邦水文气象和环境监测局（有十七个研究中心）</w:t>
            </w: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https://www.meteorf.gov.ru/</w:t>
            </w:r>
          </w:p>
        </w:tc>
        <w:tc>
          <w:tcPr>
            <w:tcW w:w="2821" w:type="dxa"/>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是一个联邦执行机构，根据俄罗斯联邦政府制定的程序，在水文气象和相关领域，环境监测和污染领域提供公共服务。</w:t>
            </w:r>
          </w:p>
        </w:tc>
        <w:tc>
          <w:tcPr>
            <w:tcW w:w="3997"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1、向国家机构、部队、紧急情况部、经济和商业以及民众提供信息；</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2、确保发布关于自然灾害、天气和环境污染的实际和预测突然变化的紧急信息；</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3、天气、含水量、作物产量、全球和区域气候变化的预测；</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4、确保雪崩控制服务的运作；</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4、以规定的方式参与领土开发项目的水文气象检查；</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5、按照既定程序协调船舶航行、飞机飞行、救援行动等水文气象和太阳地球物理支持条件；</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6、在研究和预测辐射情况、电离层状况和地球磁场方面，对大气、陆地表面、世界海洋、北极和南极以及近地空间的水文气象和太阳地球物理过程进行研究；</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7、根据俄罗斯联邦立法规定的程序，对地表水进行国家核算，并维护地表水体的国家水登记册；</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8、维持关于自然环境及其污染状况的国家统一数据基金；</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9、确保俄罗斯联邦境内水文气象观测点的运作以及获取、收集和传播水文气象信息的系统；</w:t>
            </w:r>
          </w:p>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10、大气状态监测、水体的状态监测（以地表水体计）；以俄罗斯联邦立法确定的方式对大陆架进行国家监测。</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11、重要任务之一是为俄罗斯联邦在北极、南极洲和世界海洋的活动提供水文气象支持，这对于解决开发这些地区最丰富的自然资源的任务尤为重要。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Merge w:val="restart"/>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11</w:t>
            </w:r>
          </w:p>
        </w:tc>
        <w:tc>
          <w:tcPr>
            <w:tcW w:w="1205" w:type="dxa"/>
            <w:vMerge w:val="restart"/>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right="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right="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right="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right="0"/>
              <w:jc w:val="center"/>
              <w:rPr>
                <w:rFonts w:hint="eastAsia" w:ascii="黑体" w:hAnsi="黑体" w:eastAsia="黑体" w:cs="黑体"/>
                <w:kern w:val="2"/>
                <w:sz w:val="21"/>
                <w:szCs w:val="21"/>
                <w:lang w:val="en-US" w:eastAsia="zh-CN" w:bidi="ar"/>
              </w:rPr>
            </w:pPr>
          </w:p>
          <w:p>
            <w:pPr>
              <w:keepNext w:val="0"/>
              <w:keepLines w:val="0"/>
              <w:suppressLineNumbers w:val="0"/>
              <w:spacing w:before="0" w:beforeAutospacing="0" w:after="0" w:afterAutospacing="0" w:line="360" w:lineRule="auto"/>
              <w:ind w:left="0" w:right="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北极和南极研究所</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（俄罗斯联邦水文气象和环境监测局的分支中心）</w:t>
            </w:r>
          </w:p>
        </w:tc>
        <w:tc>
          <w:tcPr>
            <w:tcW w:w="1170" w:type="dxa"/>
            <w:vMerge w:val="restart"/>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1920</w:t>
            </w:r>
          </w:p>
        </w:tc>
        <w:tc>
          <w:tcPr>
            <w:tcW w:w="1170" w:type="dxa"/>
            <w:vMerge w:val="restart"/>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https://aari.ru/</w:t>
            </w:r>
          </w:p>
        </w:tc>
        <w:tc>
          <w:tcPr>
            <w:tcW w:w="2821" w:type="dxa"/>
            <w:vMerge w:val="restart"/>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研究地球极地地区的领先科学中心，AARI自1920年以来一直在北极定期运作，自1956年以来一直在南极运作。1994年，该研究所被授予俄罗斯联邦国家科学中心的地位。</w:t>
            </w:r>
          </w:p>
        </w:tc>
        <w:tc>
          <w:tcPr>
            <w:tcW w:w="3997" w:type="dxa"/>
            <w:gridSpan w:val="2"/>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AARI 员工于 2019 年获得俄罗斯联邦政府科学技术领域的奖项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497" w:type="dxa"/>
            <w:vMerge w:val="continue"/>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p>
        </w:tc>
        <w:tc>
          <w:tcPr>
            <w:tcW w:w="1205" w:type="dxa"/>
            <w:vMerge w:val="continue"/>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p>
        </w:tc>
        <w:tc>
          <w:tcPr>
            <w:tcW w:w="1170" w:type="dxa"/>
            <w:vMerge w:val="continue"/>
            <w:tcBorders/>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p>
        </w:tc>
        <w:tc>
          <w:tcPr>
            <w:tcW w:w="1170" w:type="dxa"/>
            <w:vMerge w:val="continue"/>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p>
        </w:tc>
        <w:tc>
          <w:tcPr>
            <w:tcW w:w="2821" w:type="dxa"/>
            <w:vMerge w:val="continue"/>
            <w:noWrap w:val="0"/>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p>
        </w:tc>
        <w:tc>
          <w:tcPr>
            <w:tcW w:w="3997" w:type="dxa"/>
            <w:gridSpan w:val="2"/>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lang w:val="en-US" w:eastAsia="zh-CN"/>
              </w:rPr>
            </w:pPr>
            <w:r>
              <w:rPr>
                <w:rFonts w:hint="eastAsia" w:ascii="黑体" w:hAnsi="黑体" w:eastAsia="黑体" w:cs="黑体"/>
                <w:szCs w:val="21"/>
                <w:vertAlign w:val="baseline"/>
                <w:lang w:val="en-US" w:eastAsia="zh-CN"/>
              </w:rPr>
              <w:t>2023年，AARI主任获得俄罗斯联邦自然资源和生态部颁发的奖项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Merge w:val="continue"/>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205" w:type="dxa"/>
            <w:vMerge w:val="continue"/>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170" w:type="dxa"/>
            <w:vMerge w:val="continue"/>
            <w:tcBorders/>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1170" w:type="dxa"/>
            <w:vMerge w:val="continue"/>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2821" w:type="dxa"/>
            <w:vMerge w:val="continue"/>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3997" w:type="dxa"/>
            <w:gridSpan w:val="2"/>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2022年，科学家们在北极发现了一种“变暖极”——近几十年来温度上升最密集的地方。巴伦支地区的北部和东部地区记录的变暖速度最高。在研究期间，它们比以前认为的高出一倍，并且在过去的二十年（从 2001 年到 2020 年）中，它们显着增加。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Merge w:val="continue"/>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205" w:type="dxa"/>
            <w:vMerge w:val="continue"/>
            <w:noWrap w:val="0"/>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170" w:type="dxa"/>
            <w:vMerge w:val="continue"/>
            <w:tcBorders/>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1170" w:type="dxa"/>
            <w:vMerge w:val="continue"/>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2821" w:type="dxa"/>
            <w:vMerge w:val="continue"/>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3997" w:type="dxa"/>
            <w:gridSpan w:val="2"/>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北极和南极研究所（AARI）的科学家已经确定了北地岛布尔什维克岛上冰下湖泊斯巴达科夫斯基定期排水的原因。</w:t>
            </w:r>
            <w:r>
              <w:rPr>
                <w:rStyle w:val="7"/>
                <w:rFonts w:hint="eastAsia" w:ascii="黑体" w:hAnsi="黑体" w:eastAsia="黑体" w:cs="黑体"/>
                <w:szCs w:val="21"/>
                <w:lang w:val="en-US" w:eastAsia="zh-CN"/>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497"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205"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黑体" w:hAnsi="黑体" w:eastAsia="黑体" w:cs="黑体"/>
                <w:szCs w:val="21"/>
                <w:vertAlign w:val="baseline"/>
                <w:lang w:val="en-US" w:eastAsia="zh-CN"/>
              </w:rPr>
            </w:pPr>
          </w:p>
        </w:tc>
        <w:tc>
          <w:tcPr>
            <w:tcW w:w="1170" w:type="dxa"/>
            <w:vMerge w:val="continue"/>
            <w:tcBorders/>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1170" w:type="dxa"/>
            <w:vMerge w:val="continue"/>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2821" w:type="dxa"/>
            <w:vMerge w:val="continue"/>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c>
          <w:tcPr>
            <w:tcW w:w="3997" w:type="dxa"/>
            <w:gridSpan w:val="2"/>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北极和南极研究所（AARI）建立了一个新的运营和生产单位——永久冻土监测中心。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12</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lang w:val="en-US" w:eastAsia="zh-CN" w:bidi="ar"/>
              </w:rPr>
              <w:t>欧洲监测和评价方案-气象综合中心-东部</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1979</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https://www.msceast.org/</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东部气象综合中心（俄罗斯莫斯科）是监测和评估欧洲空气污染物远距离传播合作计划（EMEP）的国际中心之一。该中心成立于1979年，旨在评估空气污染的远距离迁移。MSC-E的主要活动集中在污染远距离迁移的研究和建模上。该中心负责开发和实际使用HM和POP空气传播和沉积的数值模型。污染扩散的建模需要详细了解HM和POP向大气中的释放、迁移和转化以及从大气中清除以及在其他环境分区中的积累的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13</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lang w:val="en-US" w:eastAsia="zh-CN" w:bidi="ar"/>
              </w:rPr>
              <w:t>国际地磁指数服务</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1906</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szCs w:val="21"/>
                <w:vertAlign w:val="baseline"/>
                <w:lang w:val="en-US" w:eastAsia="zh-CN"/>
              </w:rPr>
              <w:t>https://isgi.unistra.fr/</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14</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碳水化合物结构数据库</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https://csdb.glycoscience.ru/database/index.html</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原核生物+植物+真菌</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备注：（</w:t>
            </w:r>
            <w:r>
              <w:rPr>
                <w:rFonts w:hint="default" w:ascii="黑体" w:hAnsi="黑体" w:eastAsia="黑体" w:cs="黑体"/>
                <w:kern w:val="2"/>
                <w:sz w:val="21"/>
                <w:szCs w:val="21"/>
                <w:lang w:val="en-US" w:eastAsia="zh-CN" w:bidi="ar"/>
              </w:rPr>
              <w:t>细菌碳水化合物结构数据库</w:t>
            </w:r>
            <w:r>
              <w:rPr>
                <w:rFonts w:hint="eastAsia" w:ascii="黑体" w:hAnsi="黑体" w:eastAsia="黑体" w:cs="黑体"/>
                <w:kern w:val="2"/>
                <w:sz w:val="21"/>
                <w:szCs w:val="21"/>
                <w:lang w:val="en-US" w:eastAsia="zh-CN" w:bidi="ar"/>
              </w:rPr>
              <w:t>＋</w:t>
            </w:r>
            <w:r>
              <w:rPr>
                <w:rFonts w:hint="default" w:ascii="黑体" w:hAnsi="黑体" w:eastAsia="黑体" w:cs="黑体"/>
                <w:kern w:val="2"/>
                <w:sz w:val="21"/>
                <w:szCs w:val="21"/>
                <w:lang w:val="en-US" w:eastAsia="zh-CN" w:bidi="ar"/>
              </w:rPr>
              <w:t>植物和真菌碳水化合物结构数据库</w:t>
            </w:r>
            <w:r>
              <w:rPr>
                <w:rFonts w:hint="eastAsia" w:ascii="黑体" w:hAnsi="黑体" w:eastAsia="黑体" w:cs="黑体"/>
                <w:kern w:val="2"/>
                <w:sz w:val="21"/>
                <w:szCs w:val="21"/>
                <w:lang w:val="en-US" w:eastAsia="zh-CN" w:bidi="ar"/>
              </w:rPr>
              <w:t>现已合并至此数据库</w:t>
            </w:r>
            <w:r>
              <w:rPr>
                <w:rFonts w:hint="eastAsia" w:ascii="黑体" w:hAnsi="黑体" w:eastAsia="黑体" w:cs="黑体"/>
                <w:kern w:val="2"/>
                <w:sz w:val="21"/>
                <w:szCs w:val="21"/>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15</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糖基转移酶数据库</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https://csdb.glycoscience.ru/gt.html</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CSDB GT子数据库提供了三种物种（研究最多的植物，细菌和真菌）</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的接近完全覆盖的数据：拟南芥，大肠杆菌，酿酒酵母。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16</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俄罗斯开放数据门户</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http://data.gov.ru/</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（备注：打不开）拥有地区当局发布的9500多个数据集和地方当局提供的3000多个数据集，在该网站上注册了500多个地区和约400个地方公共机构。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17</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全俄水文气象信息研究所、世界数据中心、国家海洋数据中心（NODC）</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http://nodc.meteo.ru/</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（备注：打不开。https://edmed.seadatanet.org/results/681/</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这个网址可以看到它有哪些数据集）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18</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FSBI”行星“研究中心”</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http://planet.rssi.ru/index.php?page_type=main&amp;page=about&amp;lang=ru</w:t>
            </w:r>
          </w:p>
        </w:tc>
        <w:tc>
          <w:tcPr>
            <w:tcW w:w="2821"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俄罗斯运营和开发用于水文气象，海洋学，太阳地球物理目的和环境监测的空间地球观测系统的领先组织。它与30多个国家的国家水文气象部门和空间机构以及WMO、CGMS、欧洲气象卫星应用组织、CEOS、GEO等国际组织进行互动。</w:t>
            </w:r>
          </w:p>
        </w:tc>
        <w:tc>
          <w:tcPr>
            <w:tcW w:w="3997" w:type="dxa"/>
            <w:gridSpan w:val="2"/>
            <w:vAlign w:val="center"/>
          </w:tcPr>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“行星”研究中心的主要活动：</w:t>
            </w:r>
          </w:p>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1、国家领土分布式空间监测系统的开发、运行管理、科学和方法指导和运行;</w:t>
            </w:r>
          </w:p>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2、生产卫星信息产品，以解决水文气象学、海洋学、地球物理学、环境监测、自然和人为紧急情况控制、全球气候变化等问题;</w:t>
            </w:r>
          </w:p>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3、为建立有前途的国内空间地球观测系统提供科学和方法支持;</w:t>
            </w:r>
          </w:p>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4、校准俄罗斯水文气象和海洋卫星的数据，验证卫星信息产品;</w:t>
            </w:r>
          </w:p>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5、维护卫星信息档案，作为俄罗斯联邦国家基金的一部分;</w:t>
            </w:r>
          </w:p>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6、部署和运行空间系统，用于根据国内技术手段收集和传输来自Roshydromet地面观测网络的数据; 对空间综合体和系统的无线电电子手段的射频支持和国际法律保护;</w:t>
            </w:r>
          </w:p>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7、卫星水文气象和环境监测领域的国际合作;</w:t>
            </w:r>
          </w:p>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8、出版科技月刊《气象与水文》。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19</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莫斯科电离层监测中心</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2009</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http://icenter.izmiran.ru/</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left"/>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该中心的创建是为了通过垂直地面（OT）和外部（VNZ）探测方法对电离层状态进行操作诊断， 以及使用卫星进行直接（TIZ）和反向（OTIZ）跨电离层探测，并将测量数据传输到国家机构“ IPG”的运营中心。</w:t>
            </w:r>
          </w:p>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OT，TIZ和OTIZ方法提供莫斯科地区电离层的监测，VNZ方法提供全球监测。这些数据补充了来自 全球导航卫星和GPS导航卫星。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20</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SPECTR-W3 -- 原子和离子光谱特性数据库</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2002</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http://spectr-w3.snz.ru/index.phtml</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Spectr-W 3信息参考系统是基于事实原子数据库Spectr-W3实现的在线Web资源。 Spectr-W 3原子数据库中积累的信息包括关于光谱特性的实验，理论和汇编数据 原子和离子补充了一些关于电子碰撞截面和速率的数据。迄今为止，Spectr-W 3是世界上最大的事实数据库，其中包含 关于多电荷离子的光谱特性。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21</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default" w:ascii="黑体" w:hAnsi="黑体" w:eastAsia="黑体" w:cs="黑体"/>
                <w:kern w:val="2"/>
                <w:sz w:val="21"/>
                <w:szCs w:val="21"/>
                <w:lang w:val="en-US" w:eastAsia="zh-CN" w:bidi="ar"/>
              </w:rPr>
              <w:t>俄罗斯联邦核中心</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1946</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http://www.vniief.ru/en/nuclearcentre</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22</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水资源</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https://waterresources.ru</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该网站包含约33，6条河流描述和700，200种湖泊描述，不仅集中在俄罗斯，而且集中在世界各地。它还概述了大约200个水库，&lt;&gt;个沼泽，瀑布和运河，以及大约&lt;&gt;个冰川和海洋的位置和其他重要特征。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23</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地理</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https://geographyofrussia.com/</w:t>
            </w:r>
          </w:p>
        </w:tc>
        <w:tc>
          <w:tcPr>
            <w:tcW w:w="6818" w:type="dxa"/>
            <w:gridSpan w:val="3"/>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包含有关世界上几乎所有国家的信息：自然条件，经济特征，历史事件描述，人口，政治结构，首都和最大城市;展示了政治和物理地图、俄罗斯地图、示意图和旗帜颜色。世界各国的研究材料根据大陆原理方便地划分，世界各地分别突出显示：非洲，北美，南美，欧洲，亚洲，澳大利亚和大洋洲，欧亚大陆，南极洲。详细描述了世界海洋及其所有组成部分：太平洋、大西洋、印度洋和北冰洋，为每个海洋单独写了一篇文章，介绍了世界上所有最大的河流以供研究。单独的文章介绍了对生态学，森林，土壤类型，火山，矿物，气候概念的研究，对地球气候带的描述。 很大一部分描述了我们的家园 - 俄罗斯：俄罗斯的气候带，俄罗斯的地理位置，俄罗斯的农业气候资源，俄罗斯的大片自然区域。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24</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联邦国家预算科学研究所俄罗斯科学院全俄科学技术信息研究所</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1953</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szCs w:val="21"/>
                <w:vertAlign w:val="baseline"/>
                <w:lang w:val="en-US" w:eastAsia="zh-CN"/>
              </w:rPr>
            </w:pPr>
            <w:r>
              <w:rPr>
                <w:rFonts w:hint="eastAsia" w:ascii="黑体" w:hAnsi="黑体" w:eastAsia="黑体" w:cs="黑体"/>
                <w:kern w:val="2"/>
                <w:sz w:val="21"/>
                <w:szCs w:val="21"/>
                <w:lang w:val="en-US" w:eastAsia="zh-CN" w:bidi="ar"/>
              </w:rPr>
              <w:t>http://www.viniti.ru/</w:t>
            </w:r>
          </w:p>
        </w:tc>
        <w:tc>
          <w:tcPr>
            <w:tcW w:w="4376" w:type="dxa"/>
            <w:gridSpan w:val="2"/>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VINITI RAS数据库是一个联邦数据库，汇集了国内外自然，精确和技术科学出版物，自1981年以来生成，每月更新一次，每年补充超过600，000份文件。DB VINITI RAS 包括 26 个主题片段，由 190 多个部分组成。为了同时搜索多个专题片段，以及为了浏览VINITI数据库，将生成一个单一的多专题数据库</w:t>
            </w:r>
          </w:p>
        </w:tc>
        <w:tc>
          <w:tcPr>
            <w:tcW w:w="2442" w:type="dxa"/>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（备注：演示网址：http://bd.viniti.ru/）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97" w:type="dxa"/>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s="黑体"/>
                <w:szCs w:val="21"/>
                <w:vertAlign w:val="baseline"/>
                <w:lang w:val="en-US" w:eastAsia="zh-CN"/>
              </w:rPr>
            </w:pPr>
            <w:r>
              <w:rPr>
                <w:rFonts w:hint="eastAsia" w:ascii="黑体" w:hAnsi="黑体" w:eastAsia="黑体" w:cs="黑体"/>
                <w:szCs w:val="21"/>
                <w:vertAlign w:val="baseline"/>
                <w:lang w:val="en-US" w:eastAsia="zh-CN"/>
              </w:rPr>
              <w:t>25</w:t>
            </w:r>
          </w:p>
        </w:tc>
        <w:tc>
          <w:tcPr>
            <w:tcW w:w="1205"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天文数据中心</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default"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1936</w:t>
            </w:r>
          </w:p>
        </w:tc>
        <w:tc>
          <w:tcPr>
            <w:tcW w:w="11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黑体" w:hAnsi="黑体" w:eastAsia="黑体" w:cs="黑体"/>
                <w:kern w:val="2"/>
                <w:sz w:val="21"/>
                <w:szCs w:val="21"/>
                <w:lang w:val="en-US" w:eastAsia="zh-CN" w:bidi="ar"/>
              </w:rPr>
            </w:pPr>
            <w:r>
              <w:rPr>
                <w:rFonts w:hint="eastAsia" w:ascii="黑体" w:hAnsi="黑体" w:eastAsia="黑体" w:cs="黑体"/>
                <w:kern w:val="2"/>
                <w:sz w:val="21"/>
                <w:szCs w:val="21"/>
                <w:lang w:val="en-US" w:eastAsia="zh-CN" w:bidi="ar"/>
              </w:rPr>
              <w:t>http://www.inasan.ru/en/divisions/dpss/cad/</w:t>
            </w:r>
          </w:p>
        </w:tc>
        <w:tc>
          <w:tcPr>
            <w:tcW w:w="4376" w:type="dxa"/>
            <w:gridSpan w:val="2"/>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r>
              <w:rPr>
                <w:rFonts w:hint="eastAsia" w:ascii="黑体" w:hAnsi="黑体" w:eastAsia="黑体" w:cs="黑体"/>
                <w:kern w:val="2"/>
                <w:sz w:val="21"/>
                <w:szCs w:val="21"/>
                <w:vertAlign w:val="baseline"/>
                <w:lang w:val="en-US" w:eastAsia="zh-CN" w:bidi="ar-SA"/>
              </w:rPr>
              <w:t>它的主要任务是协调由隶属于科学院和其他组织的天文学机构在苏联进行的地面光学天文学领域的研究</w:t>
            </w:r>
          </w:p>
        </w:tc>
        <w:tc>
          <w:tcPr>
            <w:tcW w:w="2442" w:type="dxa"/>
            <w:vAlign w:val="center"/>
          </w:tcPr>
          <w:p>
            <w:pPr>
              <w:keepNext w:val="0"/>
              <w:keepLines w:val="0"/>
              <w:suppressLineNumbers w:val="0"/>
              <w:spacing w:before="0" w:beforeAutospacing="0" w:after="0" w:afterAutospacing="0" w:line="360" w:lineRule="auto"/>
              <w:ind w:left="0" w:leftChars="0" w:right="0" w:rightChars="0"/>
              <w:jc w:val="both"/>
              <w:rPr>
                <w:rFonts w:hint="eastAsia" w:ascii="黑体" w:hAnsi="黑体" w:eastAsia="黑体" w:cs="黑体"/>
                <w:kern w:val="2"/>
                <w:sz w:val="21"/>
                <w:szCs w:val="21"/>
                <w:vertAlign w:val="baseline"/>
                <w:lang w:val="en-US" w:eastAsia="zh-CN" w:bidi="ar-SA"/>
              </w:rPr>
            </w:pPr>
          </w:p>
        </w:tc>
      </w:tr>
    </w:tbl>
    <w:p>
      <w:pPr>
        <w:numPr>
          <w:ilvl w:val="0"/>
          <w:numId w:val="0"/>
        </w:numPr>
        <w:rPr>
          <w:rFonts w:hint="default"/>
          <w:lang w:val="en-US" w:eastAsia="zh-CN"/>
        </w:rPr>
      </w:pPr>
    </w:p>
    <w:p>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2"/>
        <w:snapToGrid w:val="0"/>
      </w:pPr>
      <w:r>
        <w:rPr>
          <w:rStyle w:val="7"/>
        </w:rPr>
        <w:footnoteRef/>
      </w:r>
      <w:r>
        <w:t xml:space="preserve"> </w:t>
      </w:r>
      <w:r>
        <w:rPr>
          <w:rFonts w:hint="eastAsia"/>
        </w:rPr>
        <w:t>https://aari.ru/press-center/news/vae/uchenye-aanii-razgadali-taynu-ischezayuschego-arkticheskogo-ozera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jOWRkNWRiOWRiNmFjOTA4M2QxNzg5ZDBmMGQ1ZWQifQ=="/>
  </w:docVars>
  <w:rsids>
    <w:rsidRoot w:val="00172A27"/>
    <w:rsid w:val="06112117"/>
    <w:rsid w:val="064A7447"/>
    <w:rsid w:val="090E0B90"/>
    <w:rsid w:val="10047053"/>
    <w:rsid w:val="102604F0"/>
    <w:rsid w:val="1E71779F"/>
    <w:rsid w:val="206C6470"/>
    <w:rsid w:val="23902475"/>
    <w:rsid w:val="239F090A"/>
    <w:rsid w:val="27076F2C"/>
    <w:rsid w:val="270D202F"/>
    <w:rsid w:val="280454EE"/>
    <w:rsid w:val="2FC75471"/>
    <w:rsid w:val="30D140CD"/>
    <w:rsid w:val="3F487C50"/>
    <w:rsid w:val="453E7B2C"/>
    <w:rsid w:val="45FB77CB"/>
    <w:rsid w:val="48D10CB7"/>
    <w:rsid w:val="56847368"/>
    <w:rsid w:val="58C93758"/>
    <w:rsid w:val="5A4E2167"/>
    <w:rsid w:val="5A767910"/>
    <w:rsid w:val="5D7719D5"/>
    <w:rsid w:val="62F6339C"/>
    <w:rsid w:val="640970FF"/>
    <w:rsid w:val="64F32289"/>
    <w:rsid w:val="78DD2BDC"/>
    <w:rsid w:val="7B5B428C"/>
    <w:rsid w:val="7CD20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uiPriority w:val="0"/>
    <w:rPr>
      <w:color w:val="0000FF"/>
      <w:u w:val="single"/>
    </w:rPr>
  </w:style>
  <w:style w:type="character" w:styleId="7">
    <w:name w:val="footnote reference"/>
    <w:basedOn w:val="5"/>
    <w:qFormat/>
    <w:uiPriority w:val="0"/>
    <w:rPr>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4207</Words>
  <Characters>5395</Characters>
  <Lines>0</Lines>
  <Paragraphs>0</Paragraphs>
  <TotalTime>9</TotalTime>
  <ScaleCrop>false</ScaleCrop>
  <LinksUpToDate>false</LinksUpToDate>
  <CharactersWithSpaces>5444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2023-04-24T00:59:00Z</dcterms:created>
  <dc:creator>qzuser</dc:creator>
  <cp:lastModifiedBy>ZJ</cp:lastModifiedBy>
  <dcterms:modified xsi:type="dcterms:W3CDTF">2023-05-17T02:46:07Z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5D38F2205FDE45AE80AECE41C1DC3455_11</vt:lpwstr>
  </property>
</Properties>
</file>