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rPr>
          <w:rFonts w:hint="default" w:eastAsia="等线"/>
          <w:sz w:val="28"/>
          <w:szCs w:val="32"/>
          <w:lang w:val="en-US" w:eastAsia="zh-CN"/>
        </w:rPr>
      </w:pPr>
      <w:r>
        <w:rPr>
          <w:rFonts w:hint="eastAsia"/>
          <w:sz w:val="28"/>
          <w:szCs w:val="32"/>
          <w:lang w:val="en-US" w:eastAsia="zh-CN"/>
        </w:rPr>
        <w:t>南非数据中心概况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1379"/>
        <w:gridCol w:w="2738"/>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sz w:val="21"/>
                <w:szCs w:val="20"/>
                <w:lang w:val="en-US" w:eastAsia="zh-CN"/>
              </w:rPr>
            </w:pPr>
            <w:r>
              <w:rPr>
                <w:rFonts w:hint="eastAsia" w:ascii="黑体" w:hAnsi="黑体" w:eastAsia="黑体" w:cs="黑体"/>
                <w:color w:val="auto"/>
                <w:sz w:val="21"/>
                <w:szCs w:val="20"/>
                <w:lang w:val="en-US" w:eastAsia="zh-CN"/>
              </w:rPr>
              <w:t>数据中心名称</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成立年份</w:t>
            </w: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网址</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sz w:val="21"/>
                <w:szCs w:val="20"/>
              </w:rPr>
              <w:t>南非国家海洋数据中心</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http：//nodc-southafrica.odinafrica.org/</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南非数据门户</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https://southafrica.opendataforafrica.org/</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南非国家航天局（SANSA）</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2010</w:t>
            </w: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https://www.sansa.org.za/about-sansa/</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南非极地研究基础设施（SAPRI）平台</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2021</w:t>
            </w: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https://soos.aq/news/south-african-polar-research-infrastructure-sapri-platform</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南非开放存取数据中心</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bookmarkStart w:id="0" w:name="_GoBack"/>
            <w:bookmarkEnd w:id="0"/>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https：//www.sasscal.org/services/</w:t>
            </w:r>
          </w:p>
        </w:tc>
        <w:tc>
          <w:tcPr>
            <w:tcW w:w="2900" w:type="dxa"/>
            <w:noWrap w:val="0"/>
            <w:vAlign w:val="top"/>
          </w:tcPr>
          <w:p>
            <w:pPr>
              <w:pStyle w:val="2"/>
              <w:keepNext w:val="0"/>
              <w:keepLines w:val="0"/>
              <w:widowControl w:val="0"/>
              <w:numPr>
                <w:ilvl w:val="0"/>
                <w:numId w:val="1"/>
              </w:numPr>
              <w:suppressLineNumbers w:val="0"/>
              <w:spacing w:before="0" w:beforeAutospacing="0" w:after="0" w:afterAutospacing="0" w:line="400" w:lineRule="exact"/>
              <w:ind w:left="425" w:leftChars="0" w:right="0" w:hanging="425" w:firstLineChars="0"/>
              <w:jc w:val="left"/>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从 SASSCAL 研究组合以及协作计划和合作伙伴中收集数据、信息和服务，</w:t>
            </w:r>
          </w:p>
          <w:p>
            <w:pPr>
              <w:pStyle w:val="2"/>
              <w:keepNext w:val="0"/>
              <w:keepLines w:val="0"/>
              <w:widowControl w:val="0"/>
              <w:numPr>
                <w:ilvl w:val="0"/>
                <w:numId w:val="1"/>
              </w:numPr>
              <w:suppressLineNumbers w:val="0"/>
              <w:spacing w:before="0" w:beforeAutospacing="0" w:after="0" w:afterAutospacing="0" w:line="400" w:lineRule="exact"/>
              <w:ind w:left="425" w:leftChars="0" w:right="0" w:hanging="425" w:firstLineChars="0"/>
              <w:jc w:val="left"/>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建立数据存储系统以确保产品得到保护，</w:t>
            </w:r>
          </w:p>
          <w:p>
            <w:pPr>
              <w:pStyle w:val="2"/>
              <w:keepNext w:val="0"/>
              <w:keepLines w:val="0"/>
              <w:widowControl w:val="0"/>
              <w:numPr>
                <w:ilvl w:val="0"/>
                <w:numId w:val="1"/>
              </w:numPr>
              <w:suppressLineNumbers w:val="0"/>
              <w:spacing w:before="0" w:beforeAutospacing="0" w:after="0" w:afterAutospacing="0" w:line="400" w:lineRule="exact"/>
              <w:ind w:left="425" w:leftChars="0" w:right="0" w:hanging="425" w:firstLineChars="0"/>
              <w:jc w:val="left"/>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建立一个可公开访问的在线平台，称为 SASSCAL 数据和信息门户，以及</w:t>
            </w:r>
          </w:p>
          <w:p>
            <w:pPr>
              <w:pStyle w:val="2"/>
              <w:keepNext w:val="0"/>
              <w:keepLines w:val="0"/>
              <w:widowControl w:val="0"/>
              <w:numPr>
                <w:ilvl w:val="0"/>
                <w:numId w:val="1"/>
              </w:numPr>
              <w:suppressLineNumbers w:val="0"/>
              <w:spacing w:before="0" w:beforeAutospacing="0" w:after="0" w:afterAutospacing="0" w:line="400" w:lineRule="exact"/>
              <w:ind w:left="425" w:leftChars="0" w:right="0" w:hanging="425" w:firstLineChars="0"/>
              <w:jc w:val="left"/>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建立平台，进一步确保根据利益相关者社区的用户需求创建知识产品和服务。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南非冠状病毒门户网站</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2019</w:t>
            </w: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https://sacoronavirus.co.za/</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南非图书馆和信息协会</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1997</w:t>
            </w: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https://www.liasa.org.za/default.aspx</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9" w:hRule="atLeast"/>
        </w:trPr>
        <w:tc>
          <w:tcPr>
            <w:tcW w:w="1505"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南非数据档案馆</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http://sada-data.nrf.ac.za/</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2020-08-28;存储库不再可用。南非数据档案馆促进和促进共享主要在人文和社会科学领域的大型区域、国家和国际研究项目的研究数据和计算机化原始定量数据的相关文件。它使这些数据集可供研究界用于进一步分析、比较研究、纵向研究、教学和决策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Merge w:val="restart"/>
            <w:noWrap w:val="0"/>
            <w:vAlign w:val="center"/>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南非国家生物多样性研究所（SANBI）</w:t>
            </w:r>
          </w:p>
        </w:tc>
        <w:tc>
          <w:tcPr>
            <w:tcW w:w="1379" w:type="dxa"/>
            <w:vMerge w:val="restart"/>
            <w:noWrap w:val="0"/>
            <w:vAlign w:val="center"/>
          </w:tcPr>
          <w:p>
            <w:pPr>
              <w:pStyle w:val="2"/>
              <w:keepNext w:val="0"/>
              <w:keepLines w:val="0"/>
              <w:widowControl w:val="0"/>
              <w:suppressLineNumbers w:val="0"/>
              <w:spacing w:before="0" w:beforeAutospacing="0" w:after="0" w:afterAutospacing="0" w:line="400" w:lineRule="exact"/>
              <w:ind w:left="0" w:right="0"/>
              <w:jc w:val="center"/>
              <w:rPr>
                <w:rFonts w:hint="default"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2004</w:t>
            </w:r>
          </w:p>
        </w:tc>
        <w:tc>
          <w:tcPr>
            <w:tcW w:w="2738" w:type="dxa"/>
            <w:vMerge w:val="restart"/>
            <w:noWrap w:val="0"/>
            <w:vAlign w:val="center"/>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https://www.sanbi.org/about/governance-sanbi）南非国家生物多样性研究所（SANBI）通过促进获取生物多样性数据、生成信息和知识、建设能力、提供政策咨询、展示和保护其国家植物园和动物园的生物多样性，为南非的可持续发展做出贡献。</w:t>
            </w: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SANBI举办首届国家生物多样性管理会议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1379"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研究人员发现具有重要生态意义的SA珊瑚藻类物种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1379"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SANBI正在领导一个研究机构联盟，开展一个新的生物多样性数据管道项目，名为“BIRDIE项目”。该项目旨在开发一个湿地和水鸟数据到决策管道，该管道将使用最先进的统计工具从关键数据中提取与政策相关的信息。这些信息将在在线仪表板中供决策者使用，该仪表板将自动生成重要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1379"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738" w:type="dxa"/>
            <w:vMerge w:val="continue"/>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right="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在上克拉泽和沙地集水区确认稀有泥炭地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南非国家公园(SANParks)数据存储库</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国家卫生信息存储库和数据仓库</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r>
              <w:rPr>
                <w:rFonts w:hint="eastAsia" w:ascii="黑体" w:hAnsi="黑体" w:eastAsia="黑体" w:cs="黑体"/>
                <w:color w:val="auto"/>
                <w:kern w:val="0"/>
                <w:sz w:val="21"/>
                <w:szCs w:val="21"/>
                <w:lang w:val="en-US" w:eastAsia="zh-CN" w:bidi="ar"/>
              </w:rPr>
              <w:t>南非非常大数据库</w:t>
            </w:r>
          </w:p>
        </w:tc>
        <w:tc>
          <w:tcPr>
            <w:tcW w:w="1379"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738"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c>
          <w:tcPr>
            <w:tcW w:w="2900" w:type="dxa"/>
            <w:noWrap w:val="0"/>
            <w:vAlign w:val="top"/>
          </w:tcPr>
          <w:p>
            <w:pPr>
              <w:pStyle w:val="2"/>
              <w:keepNext w:val="0"/>
              <w:keepLines w:val="0"/>
              <w:widowControl w:val="0"/>
              <w:suppressLineNumbers w:val="0"/>
              <w:spacing w:before="0" w:beforeAutospacing="0" w:after="0" w:afterAutospacing="0" w:line="400" w:lineRule="exact"/>
              <w:ind w:left="0" w:leftChars="0" w:right="0" w:rightChars="0"/>
              <w:jc w:val="center"/>
              <w:rPr>
                <w:rFonts w:hint="eastAsia" w:ascii="黑体" w:hAnsi="黑体" w:eastAsia="黑体" w:cs="黑体"/>
                <w:color w:val="auto"/>
                <w:kern w:val="0"/>
                <w:sz w:val="21"/>
                <w:szCs w:val="21"/>
                <w:lang w:val="en-US" w:eastAsia="zh-CN" w:bidi="ar"/>
              </w:rPr>
            </w:pPr>
          </w:p>
        </w:tc>
      </w:tr>
    </w:tbl>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ans-serif">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F3A07"/>
    <w:multiLevelType w:val="singleLevel"/>
    <w:tmpl w:val="D6BF3A0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OWRkNWRiOWRiNmFjOTA4M2QxNzg5ZDBmMGQ1ZWQifQ=="/>
  </w:docVars>
  <w:rsids>
    <w:rsidRoot w:val="7FB81542"/>
    <w:rsid w:val="7FB81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rPr>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表格文字"/>
    <w:qFormat/>
    <w:uiPriority w:val="0"/>
    <w:pPr>
      <w:jc w:val="both"/>
    </w:pPr>
    <w:rPr>
      <w:rFonts w:ascii="Times New Roman" w:hAnsi="Times New Roman" w:eastAsia="宋体" w:cstheme="minorBidi"/>
      <w:kern w:val="2"/>
      <w:sz w:val="15"/>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Words>
  <Characters>155</Characters>
  <Lines>0</Lines>
  <Paragraphs>0</Paragraphs>
  <TotalTime>10</TotalTime>
  <ScaleCrop>false</ScaleCrop>
  <LinksUpToDate>false</LinksUpToDate>
  <CharactersWithSpaces>155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2023-05-22T01:04:00Z</dcterms:created>
  <dc:creator>ZJ</dc:creator>
  <cp:lastModifiedBy>ZJ</cp:lastModifiedBy>
  <dcterms:modified xsi:type="dcterms:W3CDTF">2023-05-23T03:08:02Z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E78D7E4225F9472895E7EC4E5610B831_11</vt:lpwstr>
  </property>
</Properties>
</file>